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9F9F9"/>
        <w:tblCellMar>
          <w:left w:w="0" w:type="dxa"/>
          <w:right w:w="0" w:type="dxa"/>
        </w:tblCellMar>
        <w:tblLook w:val="04A0"/>
      </w:tblPr>
      <w:tblGrid>
        <w:gridCol w:w="4651"/>
        <w:gridCol w:w="4637"/>
      </w:tblGrid>
      <w:tr w:rsidR="00545341" w:rsidRPr="00545341" w:rsidTr="00545341">
        <w:tc>
          <w:tcPr>
            <w:tcW w:w="4952" w:type="dxa"/>
            <w:shd w:val="clear" w:color="auto" w:fill="F9F9F9"/>
            <w:tcMar>
              <w:top w:w="0" w:type="dxa"/>
              <w:left w:w="108" w:type="dxa"/>
              <w:bottom w:w="0" w:type="dxa"/>
              <w:right w:w="108" w:type="dxa"/>
            </w:tcMar>
            <w:hideMark/>
          </w:tcPr>
          <w:p w:rsidR="00545341" w:rsidRPr="00545341" w:rsidRDefault="00545341" w:rsidP="00545341">
            <w:pPr>
              <w:spacing w:line="315" w:lineRule="atLeast"/>
              <w:jc w:val="center"/>
              <w:rPr>
                <w:rFonts w:ascii="Roboto" w:hAnsi="Roboto"/>
                <w:color w:val="333333"/>
                <w:sz w:val="28"/>
                <w:szCs w:val="28"/>
              </w:rPr>
            </w:pPr>
            <w:r w:rsidRPr="00545341">
              <w:rPr>
                <w:rFonts w:ascii="Roboto" w:hAnsi="Roboto"/>
                <w:b/>
                <w:bCs/>
                <w:color w:val="333333"/>
                <w:sz w:val="28"/>
                <w:szCs w:val="28"/>
              </w:rPr>
              <w:t>BAN CHẤP HÀNH TRUNG ƯƠNG</w:t>
            </w:r>
          </w:p>
          <w:p w:rsidR="00545341" w:rsidRPr="00545341" w:rsidRDefault="00545341" w:rsidP="00545341">
            <w:pPr>
              <w:spacing w:line="315" w:lineRule="atLeast"/>
              <w:jc w:val="center"/>
              <w:rPr>
                <w:rFonts w:ascii="Roboto" w:hAnsi="Roboto"/>
                <w:color w:val="333333"/>
                <w:sz w:val="28"/>
                <w:szCs w:val="28"/>
              </w:rPr>
            </w:pPr>
            <w:r w:rsidRPr="00545341">
              <w:rPr>
                <w:rFonts w:ascii="Roboto" w:hAnsi="Roboto"/>
                <w:color w:val="333333"/>
                <w:sz w:val="28"/>
                <w:szCs w:val="28"/>
                <w:bdr w:val="none" w:sz="0" w:space="0" w:color="auto" w:frame="1"/>
              </w:rPr>
              <w:t>*</w:t>
            </w:r>
          </w:p>
          <w:p w:rsidR="00545341" w:rsidRPr="00545341" w:rsidRDefault="00545341" w:rsidP="00545341">
            <w:pPr>
              <w:spacing w:line="315" w:lineRule="atLeast"/>
              <w:jc w:val="center"/>
              <w:rPr>
                <w:rFonts w:ascii="Roboto" w:hAnsi="Roboto"/>
                <w:color w:val="333333"/>
                <w:sz w:val="28"/>
                <w:szCs w:val="28"/>
              </w:rPr>
            </w:pPr>
            <w:r w:rsidRPr="00545341">
              <w:rPr>
                <w:rFonts w:ascii="Roboto" w:hAnsi="Roboto"/>
                <w:color w:val="333333"/>
                <w:sz w:val="28"/>
                <w:szCs w:val="28"/>
                <w:bdr w:val="none" w:sz="0" w:space="0" w:color="auto" w:frame="1"/>
              </w:rPr>
              <w:t>Số 117-KL/TW</w:t>
            </w:r>
          </w:p>
        </w:tc>
        <w:tc>
          <w:tcPr>
            <w:tcW w:w="4952" w:type="dxa"/>
            <w:shd w:val="clear" w:color="auto" w:fill="F9F9F9"/>
            <w:tcMar>
              <w:top w:w="0" w:type="dxa"/>
              <w:left w:w="108" w:type="dxa"/>
              <w:bottom w:w="0" w:type="dxa"/>
              <w:right w:w="108" w:type="dxa"/>
            </w:tcMar>
            <w:hideMark/>
          </w:tcPr>
          <w:p w:rsidR="00545341" w:rsidRPr="00545341" w:rsidRDefault="00545341" w:rsidP="00545341">
            <w:pPr>
              <w:spacing w:line="315" w:lineRule="atLeast"/>
              <w:jc w:val="center"/>
              <w:rPr>
                <w:rFonts w:ascii="Roboto" w:hAnsi="Roboto"/>
                <w:color w:val="333333"/>
                <w:sz w:val="28"/>
                <w:szCs w:val="28"/>
              </w:rPr>
            </w:pPr>
            <w:r>
              <w:rPr>
                <w:rFonts w:ascii="Roboto" w:hAnsi="Roboto"/>
                <w:b/>
                <w:bCs/>
                <w:color w:val="333333"/>
                <w:sz w:val="28"/>
                <w:szCs w:val="28"/>
              </w:rPr>
              <w:t xml:space="preserve"> </w:t>
            </w:r>
            <w:r w:rsidRPr="00545341">
              <w:rPr>
                <w:rFonts w:ascii="Roboto" w:hAnsi="Roboto"/>
                <w:b/>
                <w:bCs/>
                <w:color w:val="333333"/>
                <w:sz w:val="28"/>
                <w:szCs w:val="28"/>
              </w:rPr>
              <w:t>ĐẢNG CỘNG SẢN VIỆT NAM</w:t>
            </w:r>
          </w:p>
          <w:p w:rsidR="00545341" w:rsidRDefault="00545341" w:rsidP="00545341">
            <w:pPr>
              <w:spacing w:line="315" w:lineRule="atLeast"/>
              <w:jc w:val="right"/>
              <w:rPr>
                <w:rFonts w:ascii="Roboto" w:hAnsi="Roboto"/>
                <w:color w:val="333333"/>
                <w:sz w:val="28"/>
                <w:szCs w:val="28"/>
              </w:rPr>
            </w:pPr>
            <w:r w:rsidRPr="00545341">
              <w:rPr>
                <w:rFonts w:ascii="Roboto" w:hAnsi="Roboto"/>
                <w:color w:val="333333"/>
                <w:sz w:val="28"/>
                <w:szCs w:val="28"/>
              </w:rPr>
              <w:t> </w:t>
            </w:r>
          </w:p>
          <w:p w:rsidR="00545341" w:rsidRPr="00545341" w:rsidRDefault="00545341" w:rsidP="00545341">
            <w:pPr>
              <w:spacing w:line="315" w:lineRule="atLeast"/>
              <w:jc w:val="right"/>
              <w:rPr>
                <w:rFonts w:ascii="Roboto" w:hAnsi="Roboto"/>
                <w:color w:val="333333"/>
                <w:sz w:val="28"/>
                <w:szCs w:val="28"/>
              </w:rPr>
            </w:pPr>
            <w:r w:rsidRPr="00545341">
              <w:rPr>
                <w:rFonts w:ascii="Roboto" w:hAnsi="Roboto"/>
                <w:color w:val="333333"/>
                <w:sz w:val="28"/>
                <w:szCs w:val="28"/>
                <w:bdr w:val="none" w:sz="0" w:space="0" w:color="auto" w:frame="1"/>
              </w:rPr>
              <w:t>Hà Nội, ngày 20 tháng 11 năm 2015</w:t>
            </w:r>
          </w:p>
          <w:p w:rsidR="00545341" w:rsidRPr="00545341" w:rsidRDefault="00545341" w:rsidP="00545341">
            <w:pPr>
              <w:spacing w:line="315" w:lineRule="atLeast"/>
              <w:jc w:val="center"/>
              <w:rPr>
                <w:rFonts w:ascii="Roboto" w:hAnsi="Roboto"/>
                <w:color w:val="333333"/>
                <w:sz w:val="28"/>
                <w:szCs w:val="28"/>
              </w:rPr>
            </w:pPr>
            <w:r w:rsidRPr="00545341">
              <w:rPr>
                <w:rFonts w:ascii="Roboto" w:hAnsi="Roboto"/>
                <w:color w:val="333333"/>
                <w:sz w:val="28"/>
                <w:szCs w:val="28"/>
                <w:bdr w:val="none" w:sz="0" w:space="0" w:color="auto" w:frame="1"/>
              </w:rPr>
              <w:br/>
            </w:r>
          </w:p>
        </w:tc>
      </w:tr>
    </w:tbl>
    <w:p w:rsidR="00545341" w:rsidRPr="00545341" w:rsidRDefault="00545341" w:rsidP="00545341">
      <w:pPr>
        <w:shd w:val="clear" w:color="auto" w:fill="F9F9F9"/>
        <w:spacing w:line="315" w:lineRule="atLeast"/>
        <w:jc w:val="center"/>
        <w:rPr>
          <w:rFonts w:ascii="Roboto" w:hAnsi="Roboto"/>
          <w:color w:val="333333"/>
          <w:sz w:val="28"/>
          <w:szCs w:val="28"/>
        </w:rPr>
      </w:pPr>
      <w:r w:rsidRPr="00545341">
        <w:rPr>
          <w:rFonts w:ascii="Roboto" w:hAnsi="Roboto"/>
          <w:b/>
          <w:bCs/>
          <w:color w:val="333333"/>
          <w:sz w:val="28"/>
          <w:szCs w:val="28"/>
        </w:rPr>
        <w:t> </w:t>
      </w:r>
    </w:p>
    <w:p w:rsidR="00545341" w:rsidRPr="00545341" w:rsidRDefault="00545341" w:rsidP="00545341">
      <w:pPr>
        <w:shd w:val="clear" w:color="auto" w:fill="F9F9F9"/>
        <w:spacing w:line="315" w:lineRule="atLeast"/>
        <w:jc w:val="center"/>
        <w:rPr>
          <w:rFonts w:ascii="Roboto" w:hAnsi="Roboto"/>
          <w:color w:val="333333"/>
          <w:sz w:val="28"/>
          <w:szCs w:val="28"/>
        </w:rPr>
      </w:pPr>
      <w:r w:rsidRPr="00545341">
        <w:rPr>
          <w:rFonts w:ascii="Roboto" w:hAnsi="Roboto"/>
          <w:b/>
          <w:bCs/>
          <w:color w:val="333333"/>
          <w:sz w:val="28"/>
          <w:szCs w:val="28"/>
        </w:rPr>
        <w:t>KẾT LUẬN</w:t>
      </w:r>
    </w:p>
    <w:p w:rsidR="00545341" w:rsidRPr="00545341" w:rsidRDefault="00545341" w:rsidP="00545341">
      <w:pPr>
        <w:shd w:val="clear" w:color="auto" w:fill="F9F9F9"/>
        <w:spacing w:line="315" w:lineRule="atLeast"/>
        <w:jc w:val="center"/>
        <w:rPr>
          <w:rFonts w:ascii="Roboto" w:hAnsi="Roboto"/>
          <w:color w:val="333333"/>
          <w:sz w:val="28"/>
          <w:szCs w:val="28"/>
        </w:rPr>
      </w:pPr>
      <w:r w:rsidRPr="00545341">
        <w:rPr>
          <w:rFonts w:ascii="Roboto" w:hAnsi="Roboto"/>
          <w:color w:val="333333"/>
          <w:sz w:val="28"/>
          <w:szCs w:val="28"/>
          <w:bdr w:val="none" w:sz="0" w:space="0" w:color="auto" w:frame="1"/>
        </w:rPr>
        <w:t>CỦA BAN BÍ THƯ</w:t>
      </w:r>
    </w:p>
    <w:p w:rsidR="00545341" w:rsidRPr="00545341" w:rsidRDefault="00545341" w:rsidP="00545341">
      <w:pPr>
        <w:shd w:val="clear" w:color="auto" w:fill="F9F9F9"/>
        <w:spacing w:line="315" w:lineRule="atLeast"/>
        <w:jc w:val="center"/>
        <w:rPr>
          <w:rFonts w:ascii="Roboto" w:hAnsi="Roboto"/>
          <w:color w:val="333333"/>
          <w:sz w:val="28"/>
          <w:szCs w:val="28"/>
        </w:rPr>
      </w:pPr>
      <w:r w:rsidRPr="00545341">
        <w:rPr>
          <w:rFonts w:ascii="Roboto" w:hAnsi="Roboto"/>
          <w:b/>
          <w:bCs/>
          <w:color w:val="333333"/>
          <w:sz w:val="28"/>
          <w:szCs w:val="28"/>
        </w:rPr>
        <w:t>Về công tác đào tạo, bồi dưỡng tại các trường chính trị tỉnh, thành phố trực thuộc Trung ương</w:t>
      </w:r>
    </w:p>
    <w:p w:rsidR="00545341" w:rsidRPr="00545341" w:rsidRDefault="00545341" w:rsidP="00545341">
      <w:pPr>
        <w:shd w:val="clear" w:color="auto" w:fill="F9F9F9"/>
        <w:spacing w:line="315" w:lineRule="atLeast"/>
        <w:rPr>
          <w:rFonts w:ascii="Roboto" w:hAnsi="Roboto"/>
          <w:color w:val="333333"/>
          <w:sz w:val="28"/>
          <w:szCs w:val="28"/>
        </w:rPr>
      </w:pPr>
      <w:r w:rsidRPr="00545341">
        <w:rPr>
          <w:rFonts w:ascii="Roboto" w:hAnsi="Roboto"/>
          <w:color w:val="333333"/>
          <w:sz w:val="28"/>
          <w:szCs w:val="28"/>
          <w:bdr w:val="none" w:sz="0" w:space="0" w:color="auto" w:frame="1"/>
        </w:rPr>
        <w:t> </w:t>
      </w:r>
    </w:p>
    <w:p w:rsidR="00545341" w:rsidRPr="00545341" w:rsidRDefault="00545341" w:rsidP="00545341">
      <w:pPr>
        <w:shd w:val="clear" w:color="auto" w:fill="F9F9F9"/>
        <w:spacing w:line="315" w:lineRule="atLeast"/>
        <w:jc w:val="both"/>
        <w:rPr>
          <w:rFonts w:ascii="Roboto" w:hAnsi="Roboto"/>
          <w:color w:val="333333"/>
          <w:sz w:val="28"/>
          <w:szCs w:val="28"/>
        </w:rPr>
      </w:pPr>
      <w:r w:rsidRPr="00545341">
        <w:rPr>
          <w:rFonts w:ascii="Roboto" w:hAnsi="Roboto"/>
          <w:color w:val="333333"/>
          <w:sz w:val="28"/>
          <w:szCs w:val="28"/>
          <w:bdr w:val="none" w:sz="0" w:space="0" w:color="auto" w:frame="1"/>
        </w:rPr>
        <w:t> </w:t>
      </w:r>
      <w:r>
        <w:rPr>
          <w:rFonts w:ascii="Roboto" w:hAnsi="Roboto"/>
          <w:color w:val="333333"/>
          <w:sz w:val="28"/>
          <w:szCs w:val="28"/>
          <w:bdr w:val="none" w:sz="0" w:space="0" w:color="auto" w:frame="1"/>
        </w:rPr>
        <w:tab/>
      </w:r>
      <w:r w:rsidRPr="00545341">
        <w:rPr>
          <w:rFonts w:ascii="Roboto" w:hAnsi="Roboto"/>
          <w:color w:val="333333"/>
          <w:sz w:val="28"/>
          <w:szCs w:val="28"/>
          <w:bdr w:val="none" w:sz="0" w:space="0" w:color="auto" w:frame="1"/>
        </w:rPr>
        <w:t>Vừa qua, sau khi nghe Học viện Chính trị quốc gia Hồ Chí Minh báo cáo sơ kết việc thực hiện  Quyết định số 184-QĐ/TW, ngày 03-9-2008 của Ban Bí thư Trung ương Đảng khóa X về chức năng, nhiệm vụ, tổ chức bộ máy của trường chính trị tỉnh, thành phố trực thuộc Trung ương (Báo cáo số 115/BC-HVCTQG, ngày 23-7-2015) và ý kiến của các cơ quan có liên quan, Ban Bí thư đã kết luận như sau:</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1- Trong thời gian qua, với sự nỗ lực của tỉnh ủy, thành ủy, ủy ban nhân dân các tỉnh, thành phố trực thuộc Trung ương, các ban, bộ, ngành Trung ương có liên quan và các trường chính trị tỉnh, thành phố, công tác trường chính trị có nhiều chuyển biến tích cực, góp phần nâng cao chất lượng đào tạo, bồi dưỡng cán bộ, công chức, lãnh đạo, quản lý từ cấp xã đến cấp tỉnh, góp phần thúc đẩy phát triển kinh tế-xã hội của các địa phương. Các trường chính trị tỉnh, thành phố đã thực hiện tương đối tốt chức năng, nhiệm vụ theo Quyết định số 184-QĐ/TW; quan tâm củng cố, kiện toàn tổ chức bộ máy, nâng cao chất lượng đội ngũ cán bộ, giảng viên; đổi mới chương trình, phương pháp đào tạo, bồi dưỡng; đẩy mạnh nghiên cứu khoa học; tăng cường cơ sở vật chất…</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Tuy nhiên, công tác đào tạo, bồi dưỡng của các trường chính trị vẫn còn những hạn chế, chậm đổi mới; một số quy định của Quyết định số 184-QĐ/TW thực hiện chưa nghiêm, thiếu thống nhất; hoạt động nghiên cứu khoa học, tổng kết thực tiễn chưa được chú trọng; cơ sở vật chất của nhiều trường chưa đáp ứng được yêu cầu.</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Nguyên nhân của những hạn chế nêu trên chủ yếu là do một số cấp ủy, chính quyền chưa nhận thức đầy đủ vị trí, vai trò, chức năng, nhiệm vụ của trường chính trị nên chưa quan tâm lãnh đạo, chỉ đạo, đầu tư thỏa đáng các nguồn lực cho hoạt động của trường chính trị. Lãnh đạo một số trường chính trị chưa chủ động, tích cực, sáng tạo trong quá trình triển khai nhiệm vụ. Đội ngũ cán bộ lãnh đạo, quản lý của nhiều trường chính trị thiếu đồng bộ, nhiều biến động; một bộ phận giảng viên trình độ chuyên môn, nghiệp vụ, kiến thức thực tiễn còn nhiều bất cập với yêu cầu nhiệm vụ đào tạo, bồi dưỡng cán bộ. Sự phối hợp giữa một số cơ quan Trung ương có liên quan trong việc chỉ đạo, hướng dẫn chưa thật chặt chẽ, có điểm thiếu thống nhất. Một số chế độ, chính sách đối với cán bộ, công chức, viên chức trường chính trị chưa phù hợp.</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 xml:space="preserve">2- Để tiếp tục đổi mới và nâng cao chất lượng đào tạo, bồi dưỡng tại các trường chính trị tỉnh, thành phố trực thuộc Trung ương trong thời gian tới, Ban </w:t>
      </w:r>
      <w:r w:rsidRPr="00545341">
        <w:rPr>
          <w:rFonts w:ascii="Roboto" w:hAnsi="Roboto"/>
          <w:color w:val="333333"/>
          <w:sz w:val="28"/>
          <w:szCs w:val="28"/>
          <w:bdr w:val="none" w:sz="0" w:space="0" w:color="auto" w:frame="1"/>
        </w:rPr>
        <w:lastRenderedPageBreak/>
        <w:t>Bí thư yêu cầu các tỉnh ủy, thành ủy, ủy ban nhân dân các tỉnh, thành phố, các cơ quan Trung ương có liên quan, các trường chính trị tỉnh, thành phố trực thuộc Trung ương thực hiện tốt những nội dung sau:</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 Quán triệt và thực hiện tốt Quyết định số 184-QĐ/TW, ngày 3-9-2008 của Ban Bí thư Trung ương Đảng khóa X về chức năng, nhiệm vụ, tổ chức bộ máy của trường chính trị tỉnh, thành phố trực thuộc Trung ương và các chủ trương, đường lối của Đảng, chính sách, pháp luật của Nhà nước về công tác đào tạo, bồi dưỡng cán bộ, công chức, viên chức.</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 Đổi mới chương trình, nội dung đào tạo, bồi dưỡng, gắn đào tạo cơ bản với bồi dưỡng kỹ năng lãnh đạo, quản lý, bồi dưỡng chức danh, tăng cường trách nhiệm của người học, hướng tới mục tiêu nâng cao chất lượng toàn diện, giữ vững bản chất trường Đảng của địa phương, tăng thêm kiến thức thực tiễn, giáo dục tư tưởng chính trị, đạo đức, lối sống, tác phong. Chú trọng đổi mới phương pháp dạy và học gắn với đẩy mạnh hoạt động nghiên cứu khoa học, tổng kết thực tiễn, góp phần thiết thực vào việc thực hiện nhiệm vụ chính trị của địa phương và bổ sung, hoàn thiện chủ trương, đường lối của Đảng, chính sách, pháp luật của Nhà nước. Nâng cao chất lượng đội ngũ giảng viên, tăng cường đội ngũ cộng tác viên, giảng viên là cán bộ lãnh đạo, quản lý tham gia giảng dạy, nghiên cứu.</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 Các cơ quan Trung ương có liên quan phối hợp chặt chẽ, bảo đảm sự chỉ đạo và tổ chức thực hiện thống nhất công tác đào tạo, bồi dưỡng cán bộ.</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 Các tỉnh ủy, thành ủy, ủy ban nhân dân tỉnh, thành phố nâng cao trách nhiệm lãnh đạo, chỉ đạo đối với các trường chính trị trong công tác đào tạo, bồi dưỡng cán bộ, bố trí đội ngũ cán bộ lãnh đạo, quản lý, giảng viên đủ năng lực; tạo điều kiện thuận lợi để cán bộ lãnh đạo, quản lý, giảng viên của trường chính trị đi thực tế ở cơ sở. Quan tâm đầu tư cơ sở vật chất và các điều kiện phục vụ giảng dạy, học tập, nghiên cứu khoa học.</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 Tăng cường công tác thanh tra, khảo thí, đổi mới cách đánh giá kết quả học tập và rèn luyện của học viên, hoàn thiện công tác quản lý đào tạo, bảo đảm chất lượng đào tạo, bồi dưỡng.</w:t>
      </w:r>
    </w:p>
    <w:p w:rsidR="00545341" w:rsidRPr="00545341" w:rsidRDefault="00545341" w:rsidP="00545341">
      <w:pPr>
        <w:shd w:val="clear" w:color="auto" w:fill="F9F9F9"/>
        <w:spacing w:line="315" w:lineRule="atLeast"/>
        <w:ind w:firstLine="720"/>
        <w:jc w:val="both"/>
        <w:rPr>
          <w:rFonts w:ascii="Roboto" w:hAnsi="Roboto"/>
          <w:color w:val="333333"/>
          <w:sz w:val="28"/>
          <w:szCs w:val="28"/>
        </w:rPr>
      </w:pPr>
      <w:r w:rsidRPr="00545341">
        <w:rPr>
          <w:rFonts w:ascii="Roboto" w:hAnsi="Roboto"/>
          <w:color w:val="333333"/>
          <w:sz w:val="28"/>
          <w:szCs w:val="28"/>
          <w:bdr w:val="none" w:sz="0" w:space="0" w:color="auto" w:frame="1"/>
        </w:rPr>
        <w:t>3- Ban Tổ chức Trung ương chủ trì, phối hợp với Ban Tuyên giáo Trung ương, Học viện Chính trị quốc gia Hồ Chí Minh và các cơ quan liên quan tham mưu tổng kết 10 năm thực hiện Quyết định số 184-QĐ/TW và xây dựng đề án trình Ban Bí thư ban hành Quyết định mới về chức năng, nhiệm vụ, tổ chức bộ máy của các trường chính trị tỉnh, thành phố trực thuộc Trung ương.</w:t>
      </w:r>
    </w:p>
    <w:p w:rsidR="00545341" w:rsidRPr="00545341" w:rsidRDefault="00545341" w:rsidP="00545341">
      <w:pPr>
        <w:shd w:val="clear" w:color="auto" w:fill="F9F9F9"/>
        <w:spacing w:line="315" w:lineRule="atLeast"/>
        <w:jc w:val="both"/>
        <w:rPr>
          <w:rFonts w:ascii="Roboto" w:hAnsi="Roboto"/>
          <w:color w:val="333333"/>
          <w:sz w:val="28"/>
          <w:szCs w:val="28"/>
        </w:rPr>
      </w:pPr>
      <w:r w:rsidRPr="00545341">
        <w:rPr>
          <w:rFonts w:ascii="Roboto" w:hAnsi="Roboto"/>
          <w:color w:val="333333"/>
          <w:sz w:val="28"/>
          <w:szCs w:val="28"/>
          <w:bdr w:val="none" w:sz="0" w:space="0" w:color="auto" w:frame="1"/>
        </w:rPr>
        <w:br/>
      </w:r>
    </w:p>
    <w:tbl>
      <w:tblPr>
        <w:tblW w:w="8606" w:type="dxa"/>
        <w:shd w:val="clear" w:color="auto" w:fill="F9F9F9"/>
        <w:tblCellMar>
          <w:left w:w="0" w:type="dxa"/>
          <w:right w:w="0" w:type="dxa"/>
        </w:tblCellMar>
        <w:tblLook w:val="04A0"/>
      </w:tblPr>
      <w:tblGrid>
        <w:gridCol w:w="4302"/>
        <w:gridCol w:w="4304"/>
      </w:tblGrid>
      <w:tr w:rsidR="00545341" w:rsidRPr="00545341" w:rsidTr="00545341">
        <w:tc>
          <w:tcPr>
            <w:tcW w:w="4312" w:type="dxa"/>
            <w:shd w:val="clear" w:color="auto" w:fill="F9F9F9"/>
            <w:tcMar>
              <w:top w:w="0" w:type="dxa"/>
              <w:left w:w="108" w:type="dxa"/>
              <w:bottom w:w="0" w:type="dxa"/>
              <w:right w:w="108" w:type="dxa"/>
            </w:tcMar>
            <w:hideMark/>
          </w:tcPr>
          <w:p w:rsidR="00545341" w:rsidRPr="00545341" w:rsidRDefault="00545341" w:rsidP="00545341">
            <w:pPr>
              <w:spacing w:after="169" w:line="315" w:lineRule="atLeast"/>
              <w:rPr>
                <w:rFonts w:ascii="Roboto" w:hAnsi="Roboto"/>
                <w:color w:val="333333"/>
                <w:sz w:val="28"/>
                <w:szCs w:val="28"/>
              </w:rPr>
            </w:pPr>
            <w:r w:rsidRPr="00545341">
              <w:rPr>
                <w:rFonts w:ascii="Roboto" w:hAnsi="Roboto"/>
                <w:color w:val="333333"/>
                <w:sz w:val="28"/>
                <w:szCs w:val="28"/>
              </w:rPr>
              <w:t> </w:t>
            </w:r>
          </w:p>
        </w:tc>
        <w:tc>
          <w:tcPr>
            <w:tcW w:w="4313" w:type="dxa"/>
            <w:shd w:val="clear" w:color="auto" w:fill="F9F9F9"/>
            <w:tcMar>
              <w:top w:w="0" w:type="dxa"/>
              <w:left w:w="108" w:type="dxa"/>
              <w:bottom w:w="0" w:type="dxa"/>
              <w:right w:w="108" w:type="dxa"/>
            </w:tcMar>
            <w:vAlign w:val="center"/>
            <w:hideMark/>
          </w:tcPr>
          <w:p w:rsidR="00545341" w:rsidRPr="00545341" w:rsidRDefault="00545341" w:rsidP="00545341">
            <w:pPr>
              <w:spacing w:line="315" w:lineRule="atLeast"/>
              <w:jc w:val="center"/>
              <w:rPr>
                <w:rFonts w:ascii="Roboto" w:hAnsi="Roboto"/>
                <w:color w:val="333333"/>
                <w:sz w:val="28"/>
                <w:szCs w:val="28"/>
              </w:rPr>
            </w:pPr>
            <w:r w:rsidRPr="00545341">
              <w:rPr>
                <w:rFonts w:ascii="Roboto" w:hAnsi="Roboto"/>
                <w:b/>
                <w:bCs/>
                <w:color w:val="333333"/>
                <w:sz w:val="28"/>
                <w:szCs w:val="28"/>
              </w:rPr>
              <w:t>T/M BAN BÍ THƯ</w:t>
            </w:r>
          </w:p>
          <w:p w:rsidR="00545341" w:rsidRPr="00545341" w:rsidRDefault="00545341" w:rsidP="00545341">
            <w:pPr>
              <w:spacing w:line="315" w:lineRule="atLeast"/>
              <w:jc w:val="center"/>
              <w:rPr>
                <w:rFonts w:ascii="Roboto" w:hAnsi="Roboto"/>
                <w:color w:val="333333"/>
                <w:sz w:val="28"/>
                <w:szCs w:val="28"/>
              </w:rPr>
            </w:pPr>
            <w:r w:rsidRPr="00545341">
              <w:rPr>
                <w:rFonts w:ascii="Roboto" w:hAnsi="Roboto"/>
                <w:i/>
                <w:iCs/>
                <w:color w:val="333333"/>
                <w:sz w:val="28"/>
                <w:szCs w:val="28"/>
              </w:rPr>
              <w:t>(đã ký)</w:t>
            </w:r>
          </w:p>
          <w:p w:rsidR="00545341" w:rsidRPr="00545341" w:rsidRDefault="00545341" w:rsidP="00545341">
            <w:pPr>
              <w:spacing w:line="315" w:lineRule="atLeast"/>
              <w:jc w:val="center"/>
              <w:rPr>
                <w:rFonts w:ascii="Roboto" w:hAnsi="Roboto"/>
                <w:color w:val="333333"/>
                <w:sz w:val="28"/>
                <w:szCs w:val="28"/>
              </w:rPr>
            </w:pPr>
            <w:r w:rsidRPr="00545341">
              <w:rPr>
                <w:rFonts w:ascii="Roboto" w:hAnsi="Roboto"/>
                <w:b/>
                <w:bCs/>
                <w:color w:val="333333"/>
                <w:sz w:val="28"/>
                <w:szCs w:val="28"/>
              </w:rPr>
              <w:t>Lê Hồng Anh</w:t>
            </w:r>
          </w:p>
        </w:tc>
      </w:tr>
    </w:tbl>
    <w:p w:rsidR="00EC34A3" w:rsidRPr="00545341" w:rsidRDefault="00EC34A3">
      <w:pPr>
        <w:rPr>
          <w:sz w:val="28"/>
          <w:szCs w:val="28"/>
        </w:rPr>
      </w:pPr>
    </w:p>
    <w:sectPr w:rsidR="00EC34A3" w:rsidRPr="00545341" w:rsidSect="00EC34A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drawingGridHorizontalSpacing w:val="120"/>
  <w:displayHorizontalDrawingGridEvery w:val="2"/>
  <w:displayVerticalDrawingGridEvery w:val="2"/>
  <w:characterSpacingControl w:val="doNotCompress"/>
  <w:compat/>
  <w:rsids>
    <w:rsidRoot w:val="00545341"/>
    <w:rsid w:val="00496702"/>
    <w:rsid w:val="00545341"/>
    <w:rsid w:val="008D6CDE"/>
    <w:rsid w:val="00B15DA7"/>
    <w:rsid w:val="00C346B2"/>
    <w:rsid w:val="00EC3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341"/>
    <w:pPr>
      <w:spacing w:before="100" w:beforeAutospacing="1" w:after="100" w:afterAutospacing="1"/>
    </w:pPr>
  </w:style>
  <w:style w:type="character" w:styleId="Strong">
    <w:name w:val="Strong"/>
    <w:basedOn w:val="DefaultParagraphFont"/>
    <w:uiPriority w:val="22"/>
    <w:qFormat/>
    <w:rsid w:val="00545341"/>
    <w:rPr>
      <w:b/>
      <w:bCs/>
    </w:rPr>
  </w:style>
  <w:style w:type="character" w:styleId="Emphasis">
    <w:name w:val="Emphasis"/>
    <w:basedOn w:val="DefaultParagraphFont"/>
    <w:uiPriority w:val="20"/>
    <w:qFormat/>
    <w:rsid w:val="00545341"/>
    <w:rPr>
      <w:i/>
      <w:iCs/>
    </w:rPr>
  </w:style>
</w:styles>
</file>

<file path=word/webSettings.xml><?xml version="1.0" encoding="utf-8"?>
<w:webSettings xmlns:r="http://schemas.openxmlformats.org/officeDocument/2006/relationships" xmlns:w="http://schemas.openxmlformats.org/wordprocessingml/2006/main">
  <w:divs>
    <w:div w:id="5741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2</cp:revision>
  <cp:lastPrinted>2016-07-04T08:27:00Z</cp:lastPrinted>
  <dcterms:created xsi:type="dcterms:W3CDTF">2016-07-04T08:25:00Z</dcterms:created>
  <dcterms:modified xsi:type="dcterms:W3CDTF">2016-07-04T08:42:00Z</dcterms:modified>
</cp:coreProperties>
</file>